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hint="eastAsia" w:ascii="仿宋_GB2312" w:eastAsia="黑体"/>
          <w:color w:val="auto"/>
          <w:kern w:val="0"/>
          <w:szCs w:val="32"/>
          <w:lang w:val="en-US" w:eastAsia="zh-CN"/>
        </w:rPr>
      </w:pPr>
      <w:r>
        <w:rPr>
          <w:rFonts w:hint="eastAsia" w:ascii="黑体" w:eastAsia="黑体"/>
          <w:bCs/>
          <w:color w:val="auto"/>
          <w:kern w:val="0"/>
          <w:sz w:val="32"/>
          <w:szCs w:val="32"/>
        </w:rPr>
        <w:t>附件</w:t>
      </w:r>
      <w:r>
        <w:rPr>
          <w:rFonts w:hint="eastAsia" w:ascii="黑体" w:eastAsia="黑体"/>
          <w:bCs/>
          <w:color w:val="auto"/>
          <w:kern w:val="0"/>
          <w:sz w:val="32"/>
          <w:szCs w:val="32"/>
          <w:lang w:val="en-US" w:eastAsia="zh-CN"/>
        </w:rPr>
        <w:t>1</w:t>
      </w:r>
    </w:p>
    <w:p>
      <w:pPr>
        <w:spacing w:line="520" w:lineRule="exact"/>
        <w:jc w:val="center"/>
        <w:rPr>
          <w:rFonts w:ascii="宋体"/>
          <w:b/>
          <w:color w:val="auto"/>
          <w:sz w:val="36"/>
          <w:szCs w:val="36"/>
        </w:rPr>
      </w:pPr>
      <w:r>
        <w:rPr>
          <w:rFonts w:hint="eastAsia" w:ascii="宋体"/>
          <w:b/>
          <w:color w:val="auto"/>
          <w:sz w:val="36"/>
          <w:szCs w:val="36"/>
        </w:rPr>
        <w:t>福建省</w:t>
      </w:r>
      <w:r>
        <w:rPr>
          <w:rFonts w:hint="eastAsia" w:ascii="宋体"/>
          <w:b/>
          <w:color w:val="auto"/>
          <w:sz w:val="36"/>
          <w:szCs w:val="36"/>
          <w:lang w:eastAsia="zh-CN"/>
        </w:rPr>
        <w:t>2024年</w:t>
      </w:r>
      <w:r>
        <w:rPr>
          <w:rFonts w:hint="eastAsia" w:ascii="宋体"/>
          <w:b/>
          <w:color w:val="auto"/>
          <w:sz w:val="36"/>
          <w:szCs w:val="36"/>
        </w:rPr>
        <w:t>省级“三支一扶”计划省外高校福建生源毕业生报名人员考核汇总表</w:t>
      </w:r>
    </w:p>
    <w:p>
      <w:pPr>
        <w:spacing w:line="52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学校：（盖章）</w:t>
      </w:r>
    </w:p>
    <w:tbl>
      <w:tblPr>
        <w:tblStyle w:val="3"/>
        <w:tblW w:w="1518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549"/>
        <w:gridCol w:w="629"/>
        <w:gridCol w:w="698"/>
        <w:gridCol w:w="593"/>
        <w:gridCol w:w="764"/>
        <w:gridCol w:w="765"/>
        <w:gridCol w:w="571"/>
        <w:gridCol w:w="571"/>
        <w:gridCol w:w="607"/>
        <w:gridCol w:w="1036"/>
        <w:gridCol w:w="965"/>
        <w:gridCol w:w="853"/>
        <w:gridCol w:w="1003"/>
        <w:gridCol w:w="892"/>
        <w:gridCol w:w="1109"/>
        <w:gridCol w:w="1579"/>
        <w:gridCol w:w="1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3" w:hRule="atLeast"/>
        </w:trPr>
        <w:tc>
          <w:tcPr>
            <w:tcW w:w="42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序号</w:t>
            </w:r>
          </w:p>
        </w:tc>
        <w:tc>
          <w:tcPr>
            <w:tcW w:w="54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姓名</w:t>
            </w:r>
          </w:p>
        </w:tc>
        <w:tc>
          <w:tcPr>
            <w:tcW w:w="62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身份证号</w:t>
            </w:r>
          </w:p>
        </w:tc>
        <w:tc>
          <w:tcPr>
            <w:tcW w:w="698"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auto"/>
                <w:sz w:val="24"/>
              </w:rPr>
            </w:pPr>
            <w:r>
              <w:rPr>
                <w:rFonts w:hint="eastAsia" w:ascii="仿宋_GB2312" w:hAnsi="仿宋_GB2312" w:eastAsia="仿宋_GB2312" w:cs="仿宋_GB2312"/>
                <w:b/>
                <w:bCs/>
                <w:color w:val="auto"/>
                <w:sz w:val="24"/>
                <w:lang w:val="en-US" w:eastAsia="zh-CN"/>
              </w:rPr>
              <w:t>生源地（精确到县）</w:t>
            </w:r>
          </w:p>
        </w:tc>
        <w:tc>
          <w:tcPr>
            <w:tcW w:w="59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民族</w:t>
            </w:r>
          </w:p>
        </w:tc>
        <w:tc>
          <w:tcPr>
            <w:tcW w:w="764"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政治面貌</w:t>
            </w:r>
          </w:p>
        </w:tc>
        <w:tc>
          <w:tcPr>
            <w:tcW w:w="7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是否属全日制毕业生</w:t>
            </w:r>
          </w:p>
        </w:tc>
        <w:tc>
          <w:tcPr>
            <w:tcW w:w="57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auto"/>
                <w:sz w:val="24"/>
              </w:rPr>
            </w:pPr>
            <w:r>
              <w:rPr>
                <w:rFonts w:hint="default" w:ascii="仿宋_GB2312" w:hAnsi="仿宋_GB2312" w:eastAsia="仿宋_GB2312" w:cs="仿宋_GB2312"/>
                <w:b/>
                <w:bCs/>
                <w:color w:val="auto"/>
                <w:sz w:val="24"/>
              </w:rPr>
              <w:t>毕业时间</w:t>
            </w:r>
          </w:p>
        </w:tc>
        <w:tc>
          <w:tcPr>
            <w:tcW w:w="571"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学历</w:t>
            </w:r>
          </w:p>
        </w:tc>
        <w:tc>
          <w:tcPr>
            <w:tcW w:w="607"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w:t>
            </w:r>
          </w:p>
        </w:tc>
        <w:tc>
          <w:tcPr>
            <w:tcW w:w="103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是否有违法违纪违规行为</w:t>
            </w:r>
          </w:p>
        </w:tc>
        <w:tc>
          <w:tcPr>
            <w:tcW w:w="96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必修（主修）科目是否达标</w:t>
            </w:r>
          </w:p>
        </w:tc>
        <w:tc>
          <w:tcPr>
            <w:tcW w:w="85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报名单位</w:t>
            </w:r>
          </w:p>
        </w:tc>
        <w:tc>
          <w:tcPr>
            <w:tcW w:w="100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专业成绩排名得分</w:t>
            </w:r>
          </w:p>
        </w:tc>
        <w:tc>
          <w:tcPr>
            <w:tcW w:w="89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rPr>
              <w:t>专业成绩排名（</w:t>
            </w:r>
            <w:r>
              <w:rPr>
                <w:rFonts w:ascii="仿宋_GB2312" w:hAnsi="仿宋_GB2312" w:eastAsia="仿宋_GB2312" w:cs="仿宋_GB2312"/>
                <w:b/>
                <w:bCs/>
                <w:color w:val="auto"/>
                <w:sz w:val="24"/>
              </w:rPr>
              <w:t>%</w:t>
            </w:r>
            <w:r>
              <w:rPr>
                <w:rFonts w:hint="eastAsia" w:ascii="仿宋_GB2312" w:hAnsi="仿宋_GB2312" w:eastAsia="仿宋_GB2312" w:cs="仿宋_GB2312"/>
                <w:b/>
                <w:bCs/>
                <w:color w:val="auto"/>
                <w:sz w:val="24"/>
                <w:lang w:eastAsia="zh-CN"/>
              </w:rPr>
              <w:t>，</w:t>
            </w:r>
            <w:r>
              <w:rPr>
                <w:rFonts w:hint="eastAsia" w:ascii="仿宋_GB2312" w:hAnsi="仿宋_GB2312" w:eastAsia="仿宋_GB2312" w:cs="仿宋_GB2312"/>
                <w:b/>
                <w:bCs/>
                <w:color w:val="auto"/>
                <w:sz w:val="24"/>
                <w:lang w:val="en-US" w:eastAsia="zh-CN"/>
              </w:rPr>
              <w:t>精确到小数点后两位</w:t>
            </w:r>
            <w:r>
              <w:rPr>
                <w:rFonts w:hint="eastAsia" w:ascii="仿宋_GB2312" w:hAnsi="仿宋_GB2312" w:eastAsia="仿宋_GB2312" w:cs="仿宋_GB2312"/>
                <w:b/>
                <w:bCs/>
                <w:color w:val="auto"/>
                <w:sz w:val="24"/>
              </w:rPr>
              <w:t>）</w:t>
            </w:r>
          </w:p>
        </w:tc>
        <w:tc>
          <w:tcPr>
            <w:tcW w:w="110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lang w:val="en-US" w:eastAsia="zh-CN"/>
              </w:rPr>
              <w:t>获得荣誉（奖学金、奖项）</w:t>
            </w:r>
            <w:r>
              <w:rPr>
                <w:rFonts w:hint="eastAsia" w:ascii="仿宋_GB2312" w:hAnsi="仿宋_GB2312" w:eastAsia="仿宋_GB2312" w:cs="仿宋_GB2312"/>
                <w:b/>
                <w:bCs/>
                <w:color w:val="auto"/>
                <w:sz w:val="24"/>
              </w:rPr>
              <w:t>情况得分</w:t>
            </w:r>
          </w:p>
        </w:tc>
        <w:tc>
          <w:tcPr>
            <w:tcW w:w="15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仿宋_GB2312" w:hAnsi="仿宋_GB2312" w:eastAsia="仿宋_GB2312" w:cs="仿宋_GB2312"/>
                <w:b/>
                <w:bCs/>
                <w:color w:val="auto"/>
                <w:sz w:val="24"/>
              </w:rPr>
            </w:pPr>
            <w:r>
              <w:rPr>
                <w:rFonts w:hint="eastAsia" w:ascii="仿宋_GB2312" w:hAnsi="仿宋_GB2312" w:eastAsia="仿宋_GB2312" w:cs="仿宋_GB2312"/>
                <w:b/>
                <w:bCs/>
                <w:color w:val="auto"/>
                <w:sz w:val="24"/>
                <w:lang w:val="en-US" w:eastAsia="zh-CN"/>
              </w:rPr>
              <w:t>获得荣誉（奖学金、奖项）</w:t>
            </w:r>
            <w:r>
              <w:rPr>
                <w:rFonts w:hint="eastAsia" w:ascii="仿宋_GB2312" w:hAnsi="仿宋_GB2312" w:eastAsia="仿宋_GB2312" w:cs="仿宋_GB2312"/>
                <w:b/>
                <w:bCs/>
                <w:color w:val="auto"/>
                <w:sz w:val="24"/>
              </w:rPr>
              <w:t>情况</w:t>
            </w:r>
          </w:p>
        </w:tc>
        <w:tc>
          <w:tcPr>
            <w:tcW w:w="157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_GB2312" w:hAnsi="仿宋_GB2312" w:eastAsia="仿宋_GB2312" w:cs="仿宋_GB2312"/>
                <w:b/>
                <w:bCs/>
                <w:color w:val="auto"/>
                <w:sz w:val="24"/>
                <w:lang w:val="en-US" w:eastAsia="zh-CN"/>
              </w:rPr>
            </w:pPr>
            <w:r>
              <w:rPr>
                <w:rFonts w:hint="eastAsia" w:ascii="仿宋_GB2312" w:hAnsi="仿宋_GB2312" w:eastAsia="仿宋_GB2312" w:cs="仿宋_GB2312"/>
                <w:b/>
                <w:bCs/>
                <w:color w:val="auto"/>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426" w:type="dxa"/>
            <w:vAlign w:val="center"/>
          </w:tcPr>
          <w:p>
            <w:pPr>
              <w:spacing w:line="520" w:lineRule="exact"/>
              <w:jc w:val="center"/>
              <w:rPr>
                <w:rFonts w:ascii="仿宋_GB2312"/>
                <w:color w:val="auto"/>
                <w:sz w:val="24"/>
              </w:rPr>
            </w:pPr>
          </w:p>
        </w:tc>
        <w:tc>
          <w:tcPr>
            <w:tcW w:w="549" w:type="dxa"/>
            <w:vAlign w:val="center"/>
          </w:tcPr>
          <w:p>
            <w:pPr>
              <w:spacing w:line="520" w:lineRule="exact"/>
              <w:jc w:val="center"/>
              <w:rPr>
                <w:rFonts w:ascii="仿宋_GB2312"/>
                <w:color w:val="auto"/>
                <w:sz w:val="24"/>
              </w:rPr>
            </w:pPr>
          </w:p>
        </w:tc>
        <w:tc>
          <w:tcPr>
            <w:tcW w:w="629" w:type="dxa"/>
            <w:vAlign w:val="center"/>
          </w:tcPr>
          <w:p>
            <w:pPr>
              <w:spacing w:line="520" w:lineRule="exact"/>
              <w:jc w:val="center"/>
              <w:rPr>
                <w:rFonts w:ascii="仿宋_GB2312"/>
                <w:color w:val="auto"/>
                <w:sz w:val="24"/>
              </w:rPr>
            </w:pPr>
          </w:p>
        </w:tc>
        <w:tc>
          <w:tcPr>
            <w:tcW w:w="698" w:type="dxa"/>
            <w:vAlign w:val="center"/>
          </w:tcPr>
          <w:p>
            <w:pPr>
              <w:spacing w:line="520" w:lineRule="exact"/>
              <w:jc w:val="center"/>
              <w:rPr>
                <w:rFonts w:ascii="仿宋_GB2312"/>
                <w:color w:val="auto"/>
                <w:sz w:val="24"/>
              </w:rPr>
            </w:pPr>
          </w:p>
        </w:tc>
        <w:tc>
          <w:tcPr>
            <w:tcW w:w="593"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765"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607" w:type="dxa"/>
            <w:vAlign w:val="center"/>
          </w:tcPr>
          <w:p>
            <w:pPr>
              <w:spacing w:line="520" w:lineRule="exact"/>
              <w:jc w:val="center"/>
              <w:rPr>
                <w:rFonts w:ascii="仿宋_GB2312"/>
                <w:color w:val="auto"/>
                <w:sz w:val="24"/>
              </w:rPr>
            </w:pPr>
          </w:p>
        </w:tc>
        <w:tc>
          <w:tcPr>
            <w:tcW w:w="1036" w:type="dxa"/>
            <w:vAlign w:val="center"/>
          </w:tcPr>
          <w:p>
            <w:pPr>
              <w:spacing w:line="520" w:lineRule="exact"/>
              <w:jc w:val="center"/>
              <w:rPr>
                <w:rFonts w:ascii="仿宋_GB2312"/>
                <w:color w:val="auto"/>
                <w:sz w:val="24"/>
              </w:rPr>
            </w:pPr>
          </w:p>
        </w:tc>
        <w:tc>
          <w:tcPr>
            <w:tcW w:w="965" w:type="dxa"/>
            <w:vAlign w:val="center"/>
          </w:tcPr>
          <w:p>
            <w:pPr>
              <w:spacing w:line="520" w:lineRule="exact"/>
              <w:jc w:val="center"/>
              <w:rPr>
                <w:rFonts w:ascii="仿宋_GB2312"/>
                <w:color w:val="auto"/>
                <w:sz w:val="24"/>
              </w:rPr>
            </w:pPr>
          </w:p>
        </w:tc>
        <w:tc>
          <w:tcPr>
            <w:tcW w:w="853" w:type="dxa"/>
            <w:vAlign w:val="center"/>
          </w:tcPr>
          <w:p>
            <w:pPr>
              <w:spacing w:line="520" w:lineRule="exact"/>
              <w:jc w:val="center"/>
              <w:rPr>
                <w:rFonts w:ascii="仿宋_GB2312"/>
                <w:color w:val="auto"/>
                <w:sz w:val="24"/>
              </w:rPr>
            </w:pPr>
          </w:p>
        </w:tc>
        <w:tc>
          <w:tcPr>
            <w:tcW w:w="1003" w:type="dxa"/>
            <w:vAlign w:val="center"/>
          </w:tcPr>
          <w:p>
            <w:pPr>
              <w:spacing w:line="520" w:lineRule="exact"/>
              <w:jc w:val="center"/>
              <w:rPr>
                <w:rFonts w:ascii="仿宋_GB2312"/>
                <w:color w:val="auto"/>
                <w:sz w:val="24"/>
              </w:rPr>
            </w:pPr>
          </w:p>
        </w:tc>
        <w:tc>
          <w:tcPr>
            <w:tcW w:w="892" w:type="dxa"/>
            <w:vAlign w:val="center"/>
          </w:tcPr>
          <w:p>
            <w:pPr>
              <w:spacing w:line="520" w:lineRule="exact"/>
              <w:jc w:val="center"/>
              <w:rPr>
                <w:rFonts w:ascii="仿宋_GB2312"/>
                <w:color w:val="auto"/>
                <w:sz w:val="24"/>
              </w:rPr>
            </w:pPr>
          </w:p>
        </w:tc>
        <w:tc>
          <w:tcPr>
            <w:tcW w:w="110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exact"/>
        </w:trPr>
        <w:tc>
          <w:tcPr>
            <w:tcW w:w="426" w:type="dxa"/>
            <w:vAlign w:val="center"/>
          </w:tcPr>
          <w:p>
            <w:pPr>
              <w:spacing w:line="520" w:lineRule="exact"/>
              <w:jc w:val="center"/>
              <w:rPr>
                <w:rFonts w:ascii="仿宋_GB2312"/>
                <w:color w:val="auto"/>
                <w:sz w:val="24"/>
              </w:rPr>
            </w:pPr>
          </w:p>
        </w:tc>
        <w:tc>
          <w:tcPr>
            <w:tcW w:w="549" w:type="dxa"/>
            <w:vAlign w:val="center"/>
          </w:tcPr>
          <w:p>
            <w:pPr>
              <w:spacing w:line="520" w:lineRule="exact"/>
              <w:jc w:val="center"/>
              <w:rPr>
                <w:rFonts w:ascii="仿宋_GB2312"/>
                <w:color w:val="auto"/>
                <w:sz w:val="24"/>
              </w:rPr>
            </w:pPr>
          </w:p>
        </w:tc>
        <w:tc>
          <w:tcPr>
            <w:tcW w:w="629" w:type="dxa"/>
            <w:vAlign w:val="center"/>
          </w:tcPr>
          <w:p>
            <w:pPr>
              <w:spacing w:line="520" w:lineRule="exact"/>
              <w:jc w:val="center"/>
              <w:rPr>
                <w:rFonts w:ascii="仿宋_GB2312"/>
                <w:color w:val="auto"/>
                <w:sz w:val="24"/>
              </w:rPr>
            </w:pPr>
          </w:p>
        </w:tc>
        <w:tc>
          <w:tcPr>
            <w:tcW w:w="698" w:type="dxa"/>
            <w:vAlign w:val="center"/>
          </w:tcPr>
          <w:p>
            <w:pPr>
              <w:spacing w:line="520" w:lineRule="exact"/>
              <w:jc w:val="center"/>
              <w:rPr>
                <w:rFonts w:ascii="仿宋_GB2312"/>
                <w:color w:val="auto"/>
                <w:sz w:val="24"/>
              </w:rPr>
            </w:pPr>
          </w:p>
        </w:tc>
        <w:tc>
          <w:tcPr>
            <w:tcW w:w="593"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765"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607" w:type="dxa"/>
            <w:vAlign w:val="center"/>
          </w:tcPr>
          <w:p>
            <w:pPr>
              <w:spacing w:line="520" w:lineRule="exact"/>
              <w:jc w:val="center"/>
              <w:rPr>
                <w:rFonts w:ascii="仿宋_GB2312"/>
                <w:color w:val="auto"/>
                <w:sz w:val="24"/>
              </w:rPr>
            </w:pPr>
          </w:p>
        </w:tc>
        <w:tc>
          <w:tcPr>
            <w:tcW w:w="1036" w:type="dxa"/>
            <w:vAlign w:val="center"/>
          </w:tcPr>
          <w:p>
            <w:pPr>
              <w:spacing w:line="520" w:lineRule="exact"/>
              <w:jc w:val="center"/>
              <w:rPr>
                <w:rFonts w:ascii="仿宋_GB2312"/>
                <w:color w:val="auto"/>
                <w:sz w:val="24"/>
              </w:rPr>
            </w:pPr>
          </w:p>
        </w:tc>
        <w:tc>
          <w:tcPr>
            <w:tcW w:w="965" w:type="dxa"/>
            <w:vAlign w:val="center"/>
          </w:tcPr>
          <w:p>
            <w:pPr>
              <w:spacing w:line="520" w:lineRule="exact"/>
              <w:jc w:val="center"/>
              <w:rPr>
                <w:rFonts w:ascii="仿宋_GB2312"/>
                <w:color w:val="auto"/>
                <w:sz w:val="24"/>
              </w:rPr>
            </w:pPr>
          </w:p>
        </w:tc>
        <w:tc>
          <w:tcPr>
            <w:tcW w:w="853" w:type="dxa"/>
            <w:vAlign w:val="center"/>
          </w:tcPr>
          <w:p>
            <w:pPr>
              <w:spacing w:line="520" w:lineRule="exact"/>
              <w:jc w:val="center"/>
              <w:rPr>
                <w:rFonts w:ascii="仿宋_GB2312"/>
                <w:color w:val="auto"/>
                <w:sz w:val="24"/>
              </w:rPr>
            </w:pPr>
          </w:p>
        </w:tc>
        <w:tc>
          <w:tcPr>
            <w:tcW w:w="1003" w:type="dxa"/>
            <w:vAlign w:val="center"/>
          </w:tcPr>
          <w:p>
            <w:pPr>
              <w:spacing w:line="520" w:lineRule="exact"/>
              <w:jc w:val="center"/>
              <w:rPr>
                <w:rFonts w:ascii="仿宋_GB2312"/>
                <w:color w:val="auto"/>
                <w:sz w:val="24"/>
              </w:rPr>
            </w:pPr>
          </w:p>
        </w:tc>
        <w:tc>
          <w:tcPr>
            <w:tcW w:w="892" w:type="dxa"/>
            <w:vAlign w:val="center"/>
          </w:tcPr>
          <w:p>
            <w:pPr>
              <w:spacing w:line="520" w:lineRule="exact"/>
              <w:jc w:val="center"/>
              <w:rPr>
                <w:rFonts w:ascii="仿宋_GB2312"/>
                <w:color w:val="auto"/>
                <w:sz w:val="24"/>
              </w:rPr>
            </w:pPr>
          </w:p>
        </w:tc>
        <w:tc>
          <w:tcPr>
            <w:tcW w:w="110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trPr>
        <w:tc>
          <w:tcPr>
            <w:tcW w:w="426" w:type="dxa"/>
            <w:vAlign w:val="center"/>
          </w:tcPr>
          <w:p>
            <w:pPr>
              <w:spacing w:line="520" w:lineRule="exact"/>
              <w:jc w:val="center"/>
              <w:rPr>
                <w:rFonts w:ascii="仿宋_GB2312"/>
                <w:color w:val="auto"/>
                <w:sz w:val="24"/>
              </w:rPr>
            </w:pPr>
          </w:p>
        </w:tc>
        <w:tc>
          <w:tcPr>
            <w:tcW w:w="549" w:type="dxa"/>
            <w:vAlign w:val="center"/>
          </w:tcPr>
          <w:p>
            <w:pPr>
              <w:spacing w:line="520" w:lineRule="exact"/>
              <w:jc w:val="center"/>
              <w:rPr>
                <w:rFonts w:ascii="仿宋_GB2312"/>
                <w:color w:val="auto"/>
                <w:sz w:val="24"/>
              </w:rPr>
            </w:pPr>
          </w:p>
        </w:tc>
        <w:tc>
          <w:tcPr>
            <w:tcW w:w="629" w:type="dxa"/>
            <w:vAlign w:val="center"/>
          </w:tcPr>
          <w:p>
            <w:pPr>
              <w:spacing w:line="520" w:lineRule="exact"/>
              <w:jc w:val="center"/>
              <w:rPr>
                <w:rFonts w:ascii="仿宋_GB2312"/>
                <w:color w:val="auto"/>
                <w:sz w:val="24"/>
              </w:rPr>
            </w:pPr>
          </w:p>
        </w:tc>
        <w:tc>
          <w:tcPr>
            <w:tcW w:w="698" w:type="dxa"/>
            <w:vAlign w:val="center"/>
          </w:tcPr>
          <w:p>
            <w:pPr>
              <w:spacing w:line="520" w:lineRule="exact"/>
              <w:jc w:val="center"/>
              <w:rPr>
                <w:rFonts w:ascii="仿宋_GB2312"/>
                <w:color w:val="auto"/>
                <w:sz w:val="24"/>
              </w:rPr>
            </w:pPr>
          </w:p>
        </w:tc>
        <w:tc>
          <w:tcPr>
            <w:tcW w:w="593" w:type="dxa"/>
            <w:vAlign w:val="center"/>
          </w:tcPr>
          <w:p>
            <w:pPr>
              <w:spacing w:line="520" w:lineRule="exact"/>
              <w:jc w:val="center"/>
              <w:rPr>
                <w:rFonts w:ascii="仿宋_GB2312"/>
                <w:color w:val="auto"/>
                <w:sz w:val="24"/>
              </w:rPr>
            </w:pPr>
          </w:p>
        </w:tc>
        <w:tc>
          <w:tcPr>
            <w:tcW w:w="764" w:type="dxa"/>
            <w:vAlign w:val="center"/>
          </w:tcPr>
          <w:p>
            <w:pPr>
              <w:spacing w:line="520" w:lineRule="exact"/>
              <w:jc w:val="center"/>
              <w:rPr>
                <w:rFonts w:ascii="仿宋_GB2312"/>
                <w:color w:val="auto"/>
                <w:sz w:val="24"/>
              </w:rPr>
            </w:pPr>
          </w:p>
        </w:tc>
        <w:tc>
          <w:tcPr>
            <w:tcW w:w="765"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571" w:type="dxa"/>
            <w:vAlign w:val="center"/>
          </w:tcPr>
          <w:p>
            <w:pPr>
              <w:spacing w:line="520" w:lineRule="exact"/>
              <w:jc w:val="center"/>
              <w:rPr>
                <w:rFonts w:ascii="仿宋_GB2312"/>
                <w:color w:val="auto"/>
                <w:sz w:val="24"/>
              </w:rPr>
            </w:pPr>
          </w:p>
        </w:tc>
        <w:tc>
          <w:tcPr>
            <w:tcW w:w="607" w:type="dxa"/>
            <w:vAlign w:val="center"/>
          </w:tcPr>
          <w:p>
            <w:pPr>
              <w:spacing w:line="520" w:lineRule="exact"/>
              <w:jc w:val="center"/>
              <w:rPr>
                <w:rFonts w:ascii="仿宋_GB2312"/>
                <w:color w:val="auto"/>
                <w:sz w:val="24"/>
              </w:rPr>
            </w:pPr>
          </w:p>
        </w:tc>
        <w:tc>
          <w:tcPr>
            <w:tcW w:w="1036" w:type="dxa"/>
            <w:vAlign w:val="center"/>
          </w:tcPr>
          <w:p>
            <w:pPr>
              <w:spacing w:line="520" w:lineRule="exact"/>
              <w:jc w:val="center"/>
              <w:rPr>
                <w:rFonts w:ascii="仿宋_GB2312"/>
                <w:color w:val="auto"/>
                <w:sz w:val="24"/>
              </w:rPr>
            </w:pPr>
          </w:p>
        </w:tc>
        <w:tc>
          <w:tcPr>
            <w:tcW w:w="965" w:type="dxa"/>
            <w:vAlign w:val="center"/>
          </w:tcPr>
          <w:p>
            <w:pPr>
              <w:spacing w:line="520" w:lineRule="exact"/>
              <w:jc w:val="center"/>
              <w:rPr>
                <w:rFonts w:ascii="仿宋_GB2312"/>
                <w:color w:val="auto"/>
                <w:sz w:val="24"/>
              </w:rPr>
            </w:pPr>
          </w:p>
        </w:tc>
        <w:tc>
          <w:tcPr>
            <w:tcW w:w="853" w:type="dxa"/>
            <w:vAlign w:val="center"/>
          </w:tcPr>
          <w:p>
            <w:pPr>
              <w:spacing w:line="520" w:lineRule="exact"/>
              <w:jc w:val="center"/>
              <w:rPr>
                <w:rFonts w:ascii="仿宋_GB2312"/>
                <w:color w:val="auto"/>
                <w:sz w:val="24"/>
              </w:rPr>
            </w:pPr>
          </w:p>
        </w:tc>
        <w:tc>
          <w:tcPr>
            <w:tcW w:w="1003" w:type="dxa"/>
            <w:vAlign w:val="center"/>
          </w:tcPr>
          <w:p>
            <w:pPr>
              <w:spacing w:line="520" w:lineRule="exact"/>
              <w:jc w:val="center"/>
              <w:rPr>
                <w:rFonts w:ascii="仿宋_GB2312"/>
                <w:color w:val="auto"/>
                <w:sz w:val="24"/>
              </w:rPr>
            </w:pPr>
          </w:p>
        </w:tc>
        <w:tc>
          <w:tcPr>
            <w:tcW w:w="892" w:type="dxa"/>
            <w:vAlign w:val="center"/>
          </w:tcPr>
          <w:p>
            <w:pPr>
              <w:spacing w:line="520" w:lineRule="exact"/>
              <w:jc w:val="center"/>
              <w:rPr>
                <w:rFonts w:ascii="仿宋_GB2312"/>
                <w:color w:val="auto"/>
                <w:sz w:val="24"/>
              </w:rPr>
            </w:pPr>
          </w:p>
        </w:tc>
        <w:tc>
          <w:tcPr>
            <w:tcW w:w="110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c>
          <w:tcPr>
            <w:tcW w:w="1579" w:type="dxa"/>
            <w:vAlign w:val="center"/>
          </w:tcPr>
          <w:p>
            <w:pPr>
              <w:spacing w:line="520" w:lineRule="exact"/>
              <w:jc w:val="center"/>
              <w:rPr>
                <w:rFonts w:ascii="仿宋_GB2312"/>
                <w:color w:val="auto"/>
                <w:sz w:val="24"/>
              </w:rPr>
            </w:pPr>
          </w:p>
        </w:tc>
      </w:tr>
    </w:tbl>
    <w:p>
      <w:pPr>
        <w:spacing w:line="480" w:lineRule="exact"/>
        <w:rPr>
          <w:rFonts w:hint="eastAsia" w:ascii="宋体" w:hAnsi="宋体" w:eastAsia="宋体" w:cs="宋体"/>
          <w:color w:val="auto"/>
          <w:sz w:val="21"/>
          <w:szCs w:val="21"/>
        </w:rPr>
      </w:pPr>
      <w:r>
        <w:rPr>
          <w:rFonts w:hint="eastAsia" w:ascii="宋体" w:hAnsi="宋体" w:eastAsia="宋体" w:cs="宋体"/>
          <w:b/>
          <w:color w:val="auto"/>
          <w:sz w:val="21"/>
          <w:szCs w:val="21"/>
        </w:rPr>
        <w:t>注：</w:t>
      </w:r>
      <w:r>
        <w:rPr>
          <w:rFonts w:hint="eastAsia" w:ascii="宋体" w:hAnsi="宋体" w:eastAsia="宋体" w:cs="宋体"/>
          <w:bCs/>
          <w:color w:val="auto"/>
          <w:sz w:val="21"/>
          <w:szCs w:val="21"/>
        </w:rPr>
        <w:t>1.</w:t>
      </w:r>
      <w:r>
        <w:rPr>
          <w:rFonts w:hint="eastAsia" w:ascii="宋体" w:hAnsi="宋体" w:eastAsia="宋体" w:cs="宋体"/>
          <w:color w:val="auto"/>
          <w:sz w:val="21"/>
          <w:szCs w:val="21"/>
        </w:rPr>
        <w:t>报名人员在校期间有违法违纪违规行为并受过严重警告及以上处分的填“是”；</w:t>
      </w:r>
      <w:r>
        <w:rPr>
          <w:rFonts w:hint="eastAsia" w:ascii="宋体" w:hAnsi="宋体" w:eastAsia="宋体" w:cs="宋体"/>
          <w:color w:val="auto"/>
          <w:sz w:val="21"/>
          <w:szCs w:val="21"/>
          <w:lang w:val="en-US" w:eastAsia="zh-CN"/>
        </w:rPr>
        <w:t>2</w:t>
      </w:r>
      <w:r>
        <w:rPr>
          <w:rFonts w:hint="eastAsia" w:ascii="宋体" w:hAnsi="宋体" w:eastAsia="宋体" w:cs="宋体"/>
          <w:color w:val="auto"/>
          <w:sz w:val="21"/>
          <w:szCs w:val="21"/>
        </w:rPr>
        <w:t>.报名人员在读期间必修（主修）科目补考3门或3次（含3门或3次）以上为不达标，填“否”</w:t>
      </w:r>
      <w:r>
        <w:rPr>
          <w:rFonts w:hint="eastAsia" w:ascii="宋体" w:hAnsi="宋体" w:eastAsia="宋体" w:cs="宋体"/>
          <w:color w:val="auto"/>
          <w:sz w:val="21"/>
          <w:szCs w:val="21"/>
          <w:lang w:eastAsia="zh-CN"/>
        </w:rPr>
        <w:t>；</w:t>
      </w:r>
      <w:r>
        <w:rPr>
          <w:rFonts w:hint="eastAsia" w:ascii="宋体" w:hAnsi="宋体" w:eastAsia="宋体" w:cs="宋体"/>
          <w:color w:val="auto"/>
          <w:sz w:val="21"/>
          <w:szCs w:val="21"/>
          <w:lang w:val="en-US" w:eastAsia="zh-CN"/>
        </w:rPr>
        <w:t>3.</w:t>
      </w:r>
      <w:r>
        <w:rPr>
          <w:rFonts w:hint="eastAsia" w:ascii="宋体" w:hAnsi="宋体" w:eastAsia="宋体" w:cs="宋体"/>
          <w:color w:val="auto"/>
          <w:sz w:val="21"/>
          <w:szCs w:val="21"/>
        </w:rPr>
        <w:t>在校</w:t>
      </w:r>
      <w:r>
        <w:rPr>
          <w:rFonts w:hint="eastAsia" w:ascii="宋体" w:hAnsi="宋体" w:eastAsia="宋体" w:cs="宋体"/>
          <w:color w:val="auto"/>
          <w:sz w:val="21"/>
          <w:szCs w:val="21"/>
          <w:lang w:val="en-US" w:eastAsia="zh-CN"/>
        </w:rPr>
        <w:t>获得荣誉（奖学金</w:t>
      </w:r>
      <w:r>
        <w:rPr>
          <w:rFonts w:hint="eastAsia" w:ascii="宋体" w:hAnsi="宋体" w:eastAsia="宋体" w:cs="宋体"/>
          <w:color w:val="auto"/>
          <w:sz w:val="21"/>
          <w:szCs w:val="21"/>
          <w:lang w:eastAsia="zh-CN"/>
        </w:rPr>
        <w:t>、奖项</w:t>
      </w:r>
      <w:r>
        <w:rPr>
          <w:rFonts w:hint="eastAsia" w:ascii="宋体" w:hAnsi="宋体" w:eastAsia="宋体" w:cs="宋体"/>
          <w:color w:val="auto"/>
          <w:sz w:val="21"/>
          <w:szCs w:val="21"/>
          <w:lang w:val="en-US" w:eastAsia="zh-CN"/>
        </w:rPr>
        <w:t>）</w:t>
      </w:r>
      <w:r>
        <w:rPr>
          <w:rFonts w:hint="eastAsia" w:ascii="宋体" w:hAnsi="宋体" w:eastAsia="宋体" w:cs="宋体"/>
          <w:color w:val="auto"/>
          <w:sz w:val="21"/>
          <w:szCs w:val="21"/>
        </w:rPr>
        <w:t>情况按照就高不重复原则评分</w:t>
      </w:r>
      <w:r>
        <w:rPr>
          <w:rFonts w:hint="eastAsia" w:ascii="宋体" w:hAnsi="宋体" w:cs="宋体"/>
          <w:color w:val="auto"/>
          <w:sz w:val="21"/>
          <w:szCs w:val="21"/>
          <w:lang w:eastAsia="zh-CN"/>
        </w:rPr>
        <w:t>；</w:t>
      </w:r>
      <w:r>
        <w:rPr>
          <w:rFonts w:hint="eastAsia" w:ascii="宋体" w:hAnsi="宋体" w:cs="宋体"/>
          <w:color w:val="auto"/>
          <w:sz w:val="21"/>
          <w:szCs w:val="21"/>
          <w:lang w:val="en-US" w:eastAsia="zh-CN"/>
        </w:rPr>
        <w:t>4.专业成绩排名精确到小数点后两位。</w:t>
      </w:r>
      <w:r>
        <w:rPr>
          <w:rFonts w:hint="eastAsia" w:ascii="宋体" w:hAnsi="宋体" w:eastAsia="宋体" w:cs="宋体"/>
          <w:color w:val="auto"/>
          <w:sz w:val="21"/>
          <w:szCs w:val="21"/>
        </w:rPr>
        <w:t>各院校在</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月</w:t>
      </w:r>
      <w:r>
        <w:rPr>
          <w:rFonts w:hint="eastAsia" w:ascii="宋体" w:hAnsi="宋体" w:cs="宋体"/>
          <w:color w:val="auto"/>
          <w:sz w:val="21"/>
          <w:szCs w:val="21"/>
          <w:lang w:val="en-US" w:eastAsia="zh-CN"/>
        </w:rPr>
        <w:t>10</w:t>
      </w:r>
      <w:r>
        <w:rPr>
          <w:rFonts w:hint="eastAsia" w:ascii="宋体" w:hAnsi="宋体" w:eastAsia="宋体" w:cs="宋体"/>
          <w:color w:val="auto"/>
          <w:sz w:val="21"/>
          <w:szCs w:val="21"/>
        </w:rPr>
        <w:t>日前将本表分别寄送</w:t>
      </w:r>
      <w:r>
        <w:rPr>
          <w:rFonts w:hint="eastAsia" w:ascii="宋体" w:hAnsi="宋体" w:eastAsia="宋体" w:cs="宋体"/>
          <w:color w:val="auto"/>
          <w:sz w:val="21"/>
          <w:szCs w:val="21"/>
          <w:lang w:eastAsia="zh-CN"/>
        </w:rPr>
        <w:t>（或传真）</w:t>
      </w:r>
      <w:r>
        <w:rPr>
          <w:rFonts w:hint="eastAsia" w:ascii="宋体" w:hAnsi="宋体" w:eastAsia="宋体" w:cs="宋体"/>
          <w:color w:val="auto"/>
          <w:sz w:val="21"/>
          <w:szCs w:val="21"/>
        </w:rPr>
        <w:t>至</w:t>
      </w:r>
      <w:r>
        <w:rPr>
          <w:rFonts w:hint="eastAsia" w:ascii="宋体" w:hAnsi="宋体" w:eastAsia="宋体" w:cs="宋体"/>
          <w:b/>
          <w:bCs/>
          <w:color w:val="auto"/>
          <w:sz w:val="21"/>
          <w:szCs w:val="21"/>
        </w:rPr>
        <w:t>毕业生报名岗位所在设区市</w:t>
      </w:r>
      <w:r>
        <w:rPr>
          <w:rFonts w:hint="eastAsia" w:ascii="宋体" w:hAnsi="宋体" w:eastAsia="宋体" w:cs="宋体"/>
          <w:b/>
          <w:bCs/>
          <w:color w:val="auto"/>
          <w:sz w:val="21"/>
          <w:szCs w:val="21"/>
          <w:lang w:eastAsia="zh-CN"/>
        </w:rPr>
        <w:t>人社部</w:t>
      </w:r>
      <w:r>
        <w:rPr>
          <w:rFonts w:hint="eastAsia" w:ascii="宋体" w:hAnsi="宋体" w:cs="宋体"/>
          <w:b/>
          <w:bCs/>
          <w:color w:val="auto"/>
          <w:sz w:val="21"/>
          <w:szCs w:val="21"/>
          <w:lang w:eastAsia="zh-CN"/>
        </w:rPr>
        <w:t>门</w:t>
      </w:r>
      <w:r>
        <w:rPr>
          <w:rFonts w:hint="eastAsia" w:ascii="宋体" w:hAnsi="宋体" w:eastAsia="宋体" w:cs="宋体"/>
          <w:color w:val="auto"/>
          <w:sz w:val="21"/>
          <w:szCs w:val="21"/>
        </w:rPr>
        <w:t>。</w:t>
      </w:r>
    </w:p>
    <w:p>
      <w:pPr>
        <w:spacing w:line="520" w:lineRule="exact"/>
        <w:rPr>
          <w:rFonts w:hint="default"/>
          <w:b w:val="0"/>
          <w:bCs w:val="0"/>
          <w:color w:val="auto"/>
        </w:rPr>
      </w:pPr>
      <w:r>
        <w:rPr>
          <w:rFonts w:hint="eastAsia"/>
          <w:b w:val="0"/>
          <w:bCs w:val="0"/>
          <w:color w:val="auto"/>
        </w:rPr>
        <w:t>填表人：</w:t>
      </w:r>
      <w:r>
        <w:rPr>
          <w:rFonts w:hint="default"/>
          <w:b w:val="0"/>
          <w:bCs w:val="0"/>
          <w:color w:val="auto"/>
        </w:rPr>
        <w:t>（必填）</w:t>
      </w:r>
      <w:r>
        <w:rPr>
          <w:rFonts w:hint="eastAsia"/>
          <w:b w:val="0"/>
          <w:bCs w:val="0"/>
          <w:color w:val="auto"/>
        </w:rPr>
        <w:t xml:space="preserve">                           </w:t>
      </w:r>
      <w:r>
        <w:rPr>
          <w:rFonts w:hint="eastAsia"/>
          <w:b w:val="0"/>
          <w:bCs w:val="0"/>
          <w:color w:val="auto"/>
          <w:lang w:val="en-US" w:eastAsia="zh-CN"/>
        </w:rPr>
        <w:t xml:space="preserve">                                            </w:t>
      </w:r>
      <w:r>
        <w:rPr>
          <w:rFonts w:hint="eastAsia"/>
          <w:b w:val="0"/>
          <w:bCs w:val="0"/>
          <w:color w:val="auto"/>
        </w:rPr>
        <w:t xml:space="preserve"> 联系电话：</w:t>
      </w:r>
      <w:r>
        <w:rPr>
          <w:rFonts w:hint="default"/>
          <w:b w:val="0"/>
          <w:bCs w:val="0"/>
          <w:color w:val="auto"/>
        </w:rPr>
        <w:t>（必填）</w:t>
      </w:r>
    </w:p>
    <w:p>
      <w:pPr>
        <w:spacing w:line="520" w:lineRule="exact"/>
        <w:rPr>
          <w:rFonts w:hint="eastAsia" w:ascii="黑体" w:eastAsia="黑体"/>
          <w:bCs/>
          <w:color w:val="auto"/>
          <w:kern w:val="0"/>
          <w:sz w:val="32"/>
          <w:szCs w:val="32"/>
          <w:lang w:eastAsia="zh-CN"/>
        </w:rPr>
      </w:pPr>
      <w:r>
        <w:rPr>
          <w:rFonts w:hint="eastAsia" w:ascii="黑体" w:eastAsia="黑体"/>
          <w:bCs/>
          <w:color w:val="auto"/>
          <w:kern w:val="0"/>
          <w:sz w:val="32"/>
          <w:szCs w:val="32"/>
        </w:rPr>
        <w:t>附件</w:t>
      </w:r>
      <w:r>
        <w:rPr>
          <w:rFonts w:hint="eastAsia" w:ascii="黑体" w:eastAsia="黑体"/>
          <w:bCs/>
          <w:color w:val="auto"/>
          <w:kern w:val="0"/>
          <w:sz w:val="32"/>
          <w:szCs w:val="32"/>
          <w:lang w:val="en-US" w:eastAsia="zh-CN"/>
        </w:rPr>
        <w:t>2</w:t>
      </w:r>
    </w:p>
    <w:p>
      <w:pPr>
        <w:spacing w:line="550" w:lineRule="exact"/>
        <w:jc w:val="center"/>
        <w:rPr>
          <w:rFonts w:hint="eastAsia" w:ascii="宋体" w:hAnsi="宋体" w:cs="宋体"/>
          <w:b/>
          <w:color w:val="auto"/>
          <w:sz w:val="36"/>
          <w:szCs w:val="36"/>
        </w:rPr>
      </w:pPr>
      <w:r>
        <w:rPr>
          <w:rFonts w:hint="eastAsia" w:ascii="宋体" w:hAnsi="宋体" w:cs="宋体"/>
          <w:b/>
          <w:color w:val="auto"/>
          <w:sz w:val="36"/>
          <w:szCs w:val="36"/>
        </w:rPr>
        <w:t>福建省</w:t>
      </w:r>
      <w:r>
        <w:rPr>
          <w:rFonts w:hint="default" w:ascii="宋体" w:hAnsi="宋体" w:cs="宋体"/>
          <w:b/>
          <w:color w:val="auto"/>
          <w:sz w:val="36"/>
          <w:szCs w:val="36"/>
        </w:rPr>
        <w:t>设区市</w:t>
      </w:r>
      <w:r>
        <w:rPr>
          <w:rFonts w:hint="eastAsia" w:ascii="宋体" w:hAnsi="宋体" w:cs="宋体"/>
          <w:b/>
          <w:color w:val="auto"/>
          <w:sz w:val="36"/>
          <w:szCs w:val="36"/>
          <w:lang w:eastAsia="zh-CN"/>
        </w:rPr>
        <w:t>人社部门</w:t>
      </w:r>
      <w:r>
        <w:rPr>
          <w:rFonts w:hint="eastAsia" w:ascii="宋体" w:hAnsi="宋体" w:cs="宋体"/>
          <w:b/>
          <w:color w:val="auto"/>
          <w:sz w:val="36"/>
          <w:szCs w:val="36"/>
        </w:rPr>
        <w:t>联系表</w:t>
      </w:r>
    </w:p>
    <w:tbl>
      <w:tblPr>
        <w:tblStyle w:val="3"/>
        <w:tblpPr w:leftFromText="180" w:rightFromText="180" w:vertAnchor="text" w:horzAnchor="page" w:tblpX="1741" w:tblpY="42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0"/>
        <w:gridCol w:w="1988"/>
        <w:gridCol w:w="2182"/>
        <w:gridCol w:w="5442"/>
        <w:gridCol w:w="13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单位名称</w:t>
            </w:r>
          </w:p>
        </w:tc>
        <w:tc>
          <w:tcPr>
            <w:tcW w:w="19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联系电话</w:t>
            </w:r>
          </w:p>
        </w:tc>
        <w:tc>
          <w:tcPr>
            <w:tcW w:w="218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传真号码</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联系地址</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b/>
                <w:bCs/>
                <w:color w:val="auto"/>
                <w:sz w:val="28"/>
                <w:szCs w:val="28"/>
              </w:rPr>
            </w:pPr>
            <w:r>
              <w:rPr>
                <w:rFonts w:hint="eastAsia" w:ascii="仿宋_GB2312" w:hAnsi="仿宋_GB2312" w:eastAsia="仿宋_GB2312" w:cs="仿宋_GB2312"/>
                <w:b/>
                <w:bCs/>
                <w:color w:val="auto"/>
                <w:sz w:val="28"/>
                <w:szCs w:val="28"/>
              </w:rPr>
              <w:t>邮政编码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highlight w:val="none"/>
              </w:rPr>
              <w:t>福州市</w:t>
            </w:r>
            <w:r>
              <w:rPr>
                <w:rFonts w:hint="eastAsia" w:ascii="仿宋_GB2312" w:hAnsi="仿宋_GB2312" w:eastAsia="仿宋_GB2312" w:cs="仿宋_GB2312"/>
                <w:color w:val="auto"/>
                <w:sz w:val="24"/>
                <w:highlight w:val="none"/>
                <w:lang w:eastAsia="zh-CN"/>
              </w:rPr>
              <w:t>人社局</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kern w:val="0"/>
                <w:sz w:val="24"/>
                <w:lang w:bidi="ar"/>
              </w:rPr>
            </w:pPr>
            <w:r>
              <w:rPr>
                <w:rFonts w:hint="eastAsia" w:ascii="仿宋_GB2312" w:hAnsi="仿宋_GB2312" w:eastAsia="仿宋_GB2312" w:cs="仿宋_GB2312"/>
                <w:color w:val="auto"/>
                <w:kern w:val="0"/>
                <w:sz w:val="24"/>
                <w:lang w:bidi="ar"/>
              </w:rPr>
              <w:t>0591-83337727</w:t>
            </w:r>
          </w:p>
        </w:tc>
        <w:tc>
          <w:tcPr>
            <w:tcW w:w="218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kern w:val="0"/>
                <w:sz w:val="24"/>
                <w:lang w:bidi="ar"/>
              </w:rPr>
            </w:pPr>
            <w:r>
              <w:rPr>
                <w:rFonts w:hint="eastAsia" w:ascii="仿宋_GB2312" w:hAnsi="仿宋_GB2312" w:eastAsia="仿宋_GB2312" w:cs="仿宋_GB2312"/>
                <w:color w:val="auto"/>
                <w:kern w:val="0"/>
                <w:sz w:val="24"/>
                <w:lang w:bidi="ar"/>
              </w:rPr>
              <w:t>0591-83337727</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ascii="仿宋_GB2312" w:hAnsi="仿宋_GB2312" w:eastAsia="仿宋_GB2312" w:cs="仿宋_GB2312"/>
                <w:color w:val="auto"/>
                <w:sz w:val="24"/>
              </w:rPr>
            </w:pPr>
            <w:r>
              <w:rPr>
                <w:rFonts w:hint="default" w:ascii="仿宋_GB2312" w:hAnsi="仿宋_GB2312" w:eastAsia="仿宋_GB2312" w:cs="仿宋_GB2312"/>
                <w:color w:val="auto"/>
                <w:sz w:val="24"/>
              </w:rPr>
              <w:t>福建省</w:t>
            </w:r>
            <w:r>
              <w:rPr>
                <w:rFonts w:hint="eastAsia" w:ascii="仿宋_GB2312" w:hAnsi="仿宋_GB2312" w:eastAsia="仿宋_GB2312" w:cs="仿宋_GB2312"/>
                <w:color w:val="auto"/>
                <w:sz w:val="24"/>
              </w:rPr>
              <w:t>福州市仓山区南江滨西大道193号东部办公区1#</w:t>
            </w:r>
            <w:r>
              <w:rPr>
                <w:rFonts w:hint="eastAsia" w:ascii="仿宋_GB2312" w:hAnsi="仿宋_GB2312" w:eastAsia="仿宋_GB2312" w:cs="仿宋_GB2312"/>
                <w:color w:val="auto"/>
                <w:sz w:val="24"/>
                <w:lang w:val="en-US" w:eastAsia="zh-CN"/>
              </w:rPr>
              <w:t>7</w:t>
            </w:r>
            <w:r>
              <w:rPr>
                <w:rFonts w:hint="eastAsia" w:ascii="仿宋_GB2312" w:hAnsi="仿宋_GB2312" w:eastAsia="仿宋_GB2312" w:cs="仿宋_GB2312"/>
                <w:color w:val="auto"/>
                <w:sz w:val="24"/>
              </w:rPr>
              <w:t>01室</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350001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highlight w:val="none"/>
                <w:lang w:eastAsia="zh-CN"/>
              </w:rPr>
            </w:pPr>
            <w:r>
              <w:rPr>
                <w:rFonts w:hint="eastAsia" w:ascii="仿宋_GB2312" w:hAnsi="仿宋_GB2312" w:eastAsia="仿宋_GB2312" w:cs="仿宋_GB2312"/>
                <w:color w:val="auto"/>
                <w:sz w:val="24"/>
                <w:highlight w:val="none"/>
              </w:rPr>
              <w:t>漳州市</w:t>
            </w:r>
            <w:r>
              <w:rPr>
                <w:rFonts w:hint="eastAsia" w:ascii="仿宋_GB2312" w:hAnsi="仿宋_GB2312" w:eastAsia="仿宋_GB2312" w:cs="仿宋_GB2312"/>
                <w:color w:val="auto"/>
                <w:sz w:val="24"/>
                <w:highlight w:val="none"/>
                <w:lang w:eastAsia="zh-CN"/>
              </w:rPr>
              <w:t>人社局就业科</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kern w:val="0"/>
                <w:sz w:val="24"/>
                <w:lang w:bidi="ar"/>
              </w:rPr>
            </w:pPr>
            <w:r>
              <w:rPr>
                <w:rFonts w:hint="eastAsia" w:ascii="仿宋_GB2312" w:hAnsi="仿宋_GB2312" w:eastAsia="仿宋_GB2312" w:cs="仿宋_GB2312"/>
                <w:color w:val="auto"/>
                <w:kern w:val="0"/>
                <w:sz w:val="24"/>
                <w:lang w:bidi="ar"/>
              </w:rPr>
              <w:t>0596-2024423</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0596-2021505</w:t>
            </w:r>
          </w:p>
        </w:tc>
        <w:tc>
          <w:tcPr>
            <w:tcW w:w="218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0596-2024423</w:t>
            </w:r>
          </w:p>
        </w:tc>
        <w:tc>
          <w:tcPr>
            <w:tcW w:w="544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val="en-US" w:eastAsia="zh-CN" w:bidi="ar"/>
              </w:rPr>
              <w:t>福建省</w:t>
            </w:r>
            <w:r>
              <w:rPr>
                <w:rFonts w:hint="default" w:ascii="仿宋_GB2312" w:hAnsi="仿宋_GB2312" w:eastAsia="仿宋_GB2312" w:cs="仿宋_GB2312"/>
                <w:color w:val="auto"/>
                <w:kern w:val="0"/>
                <w:sz w:val="24"/>
                <w:lang w:bidi="ar"/>
              </w:rPr>
              <w:t>漳州市芗城区漳福路44号2号楼漳州市人社局1楼104</w:t>
            </w:r>
          </w:p>
        </w:tc>
        <w:tc>
          <w:tcPr>
            <w:tcW w:w="137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363000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泉州市就业和人才人事公共服务中心</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ind w:firstLine="120" w:firstLineChars="50"/>
              <w:jc w:val="both"/>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0595-28133660</w:t>
            </w:r>
          </w:p>
        </w:tc>
        <w:tc>
          <w:tcPr>
            <w:tcW w:w="218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ind w:firstLine="240" w:firstLineChars="100"/>
              <w:jc w:val="both"/>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0595-22377625</w:t>
            </w:r>
          </w:p>
        </w:tc>
        <w:tc>
          <w:tcPr>
            <w:tcW w:w="544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lang w:val="en-US" w:eastAsia="zh-CN"/>
              </w:rPr>
            </w:pPr>
            <w:r>
              <w:rPr>
                <w:rFonts w:hint="eastAsia" w:ascii="仿宋_GB2312" w:hAnsi="仿宋_GB2312" w:eastAsia="仿宋_GB2312" w:cs="仿宋_GB2312"/>
                <w:color w:val="auto"/>
                <w:sz w:val="24"/>
              </w:rPr>
              <w:t>福建省泉州市丰泽区东海大厦B栋1003室</w:t>
            </w:r>
          </w:p>
        </w:tc>
        <w:tc>
          <w:tcPr>
            <w:tcW w:w="137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362000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莆田市</w:t>
            </w:r>
            <w:r>
              <w:rPr>
                <w:rFonts w:hint="eastAsia" w:ascii="仿宋_GB2312" w:hAnsi="仿宋_GB2312" w:eastAsia="仿宋_GB2312" w:cs="仿宋_GB2312"/>
                <w:color w:val="auto"/>
                <w:sz w:val="24"/>
                <w:lang w:eastAsia="zh-CN"/>
              </w:rPr>
              <w:t>人社局</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0594-2289933</w:t>
            </w:r>
          </w:p>
        </w:tc>
        <w:tc>
          <w:tcPr>
            <w:tcW w:w="218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0594-2392879</w:t>
            </w:r>
          </w:p>
        </w:tc>
        <w:tc>
          <w:tcPr>
            <w:tcW w:w="544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default" w:ascii="仿宋_GB2312" w:hAnsi="仿宋_GB2312" w:eastAsia="仿宋_GB2312" w:cs="仿宋_GB2312"/>
                <w:color w:val="auto"/>
                <w:kern w:val="0"/>
                <w:sz w:val="24"/>
                <w:lang w:bidi="ar"/>
              </w:rPr>
              <w:t>福建省莆田市城厢区荔城中大道2169号莆田市人民政府办公楼1号楼651室</w:t>
            </w:r>
          </w:p>
        </w:tc>
        <w:tc>
          <w:tcPr>
            <w:tcW w:w="1370"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351100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三明市</w:t>
            </w:r>
            <w:r>
              <w:rPr>
                <w:rFonts w:hint="eastAsia" w:ascii="仿宋_GB2312" w:hAnsi="仿宋_GB2312" w:eastAsia="仿宋_GB2312" w:cs="仿宋_GB2312"/>
                <w:color w:val="auto"/>
                <w:sz w:val="24"/>
                <w:highlight w:val="none"/>
                <w:lang w:eastAsia="zh-CN"/>
              </w:rPr>
              <w:t>人社局</w:t>
            </w:r>
          </w:p>
        </w:tc>
        <w:tc>
          <w:tcPr>
            <w:tcW w:w="19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0598-7506621</w:t>
            </w:r>
          </w:p>
        </w:tc>
        <w:tc>
          <w:tcPr>
            <w:tcW w:w="218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0598-7506675</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default" w:ascii="仿宋_GB2312" w:hAnsi="仿宋_GB2312" w:eastAsia="仿宋_GB2312" w:cs="仿宋_GB2312"/>
                <w:color w:val="auto"/>
                <w:sz w:val="24"/>
              </w:rPr>
              <w:t xml:space="preserve"> 福建省三明市三元区新市北路杜鹃新村32幢三明市人社局311室</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365000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南平市</w:t>
            </w:r>
            <w:r>
              <w:rPr>
                <w:rFonts w:hint="eastAsia" w:ascii="仿宋_GB2312" w:hAnsi="仿宋_GB2312" w:eastAsia="仿宋_GB2312" w:cs="仿宋_GB2312"/>
                <w:color w:val="auto"/>
                <w:sz w:val="24"/>
                <w:highlight w:val="none"/>
                <w:lang w:eastAsia="zh-CN"/>
              </w:rPr>
              <w:t>人事人才公共服务中心</w:t>
            </w:r>
          </w:p>
        </w:tc>
        <w:tc>
          <w:tcPr>
            <w:tcW w:w="19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0599-8858560</w:t>
            </w:r>
          </w:p>
        </w:tc>
        <w:tc>
          <w:tcPr>
            <w:tcW w:w="218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default" w:ascii="仿宋_GB2312" w:hAnsi="仿宋_GB2312" w:eastAsia="仿宋_GB2312" w:cs="仿宋_GB2312"/>
                <w:color w:val="auto"/>
                <w:sz w:val="24"/>
              </w:rPr>
              <w:t>福建省南平市建阳区童游街道翠屏路2号南平市政务服务中心四楼四区473室</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354200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highlight w:val="none"/>
              </w:rPr>
            </w:pPr>
            <w:r>
              <w:rPr>
                <w:rFonts w:hint="eastAsia" w:ascii="仿宋_GB2312" w:hAnsi="仿宋_GB2312" w:eastAsia="仿宋_GB2312" w:cs="仿宋_GB2312"/>
                <w:color w:val="auto"/>
                <w:sz w:val="24"/>
                <w:highlight w:val="none"/>
              </w:rPr>
              <w:t>龙岩市</w:t>
            </w:r>
            <w:r>
              <w:rPr>
                <w:rFonts w:hint="eastAsia" w:ascii="仿宋_GB2312" w:hAnsi="仿宋_GB2312" w:eastAsia="仿宋_GB2312" w:cs="仿宋_GB2312"/>
                <w:color w:val="auto"/>
                <w:sz w:val="24"/>
                <w:highlight w:val="none"/>
                <w:lang w:eastAsia="zh-CN"/>
              </w:rPr>
              <w:t>公共就业和人才服务中心</w:t>
            </w:r>
          </w:p>
        </w:tc>
        <w:tc>
          <w:tcPr>
            <w:tcW w:w="1988"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kern w:val="0"/>
                <w:sz w:val="24"/>
                <w:lang w:bidi="ar"/>
              </w:rPr>
              <w:t>0597-3298291</w:t>
            </w:r>
          </w:p>
        </w:tc>
        <w:tc>
          <w:tcPr>
            <w:tcW w:w="2182"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lang w:val="en-US" w:eastAsia="zh-CN"/>
              </w:rPr>
              <w:t>-</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lang w:val="en-US" w:eastAsia="zh-CN"/>
              </w:rPr>
            </w:pPr>
            <w:r>
              <w:rPr>
                <w:rFonts w:hint="default" w:ascii="仿宋_GB2312" w:hAnsi="仿宋_GB2312" w:eastAsia="仿宋_GB2312" w:cs="仿宋_GB2312"/>
                <w:color w:val="auto"/>
                <w:sz w:val="24"/>
              </w:rPr>
              <w:t>福建省龙岩市新罗区金融中心B2栋农业银行大楼14楼1425办公室</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364000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宁德市</w:t>
            </w:r>
            <w:r>
              <w:rPr>
                <w:rFonts w:hint="eastAsia" w:ascii="仿宋_GB2312" w:hAnsi="仿宋_GB2312" w:eastAsia="仿宋_GB2312" w:cs="仿宋_GB2312"/>
                <w:color w:val="auto"/>
                <w:sz w:val="24"/>
                <w:lang w:eastAsia="zh-CN"/>
              </w:rPr>
              <w:t>人社局</w:t>
            </w:r>
          </w:p>
        </w:tc>
        <w:tc>
          <w:tcPr>
            <w:tcW w:w="19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0593-2868196</w:t>
            </w:r>
          </w:p>
        </w:tc>
        <w:tc>
          <w:tcPr>
            <w:tcW w:w="218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0593-2868196</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default" w:ascii="仿宋_GB2312" w:hAnsi="仿宋_GB2312" w:eastAsia="仿宋_GB2312" w:cs="仿宋_GB2312"/>
                <w:color w:val="auto"/>
                <w:sz w:val="24"/>
              </w:rPr>
              <w:t>福建省宁德市蕉城南路42号4楼毕业生就业指导中心</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352100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lang w:eastAsia="zh-CN"/>
              </w:rPr>
            </w:pPr>
            <w:r>
              <w:rPr>
                <w:rFonts w:hint="eastAsia" w:ascii="仿宋_GB2312" w:hAnsi="仿宋_GB2312" w:eastAsia="仿宋_GB2312" w:cs="仿宋_GB2312"/>
                <w:color w:val="auto"/>
                <w:sz w:val="24"/>
              </w:rPr>
              <w:t>平潭综合实验区</w:t>
            </w:r>
            <w:r>
              <w:rPr>
                <w:rFonts w:hint="eastAsia" w:ascii="仿宋_GB2312" w:hAnsi="仿宋_GB2312" w:eastAsia="仿宋_GB2312" w:cs="仿宋_GB2312"/>
                <w:color w:val="auto"/>
                <w:sz w:val="24"/>
                <w:lang w:eastAsia="zh-CN"/>
              </w:rPr>
              <w:t>社会事业局</w:t>
            </w:r>
          </w:p>
        </w:tc>
        <w:tc>
          <w:tcPr>
            <w:tcW w:w="198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0591-38918918</w:t>
            </w:r>
          </w:p>
        </w:tc>
        <w:tc>
          <w:tcPr>
            <w:tcW w:w="218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0591-38918918</w:t>
            </w:r>
          </w:p>
        </w:tc>
        <w:tc>
          <w:tcPr>
            <w:tcW w:w="544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平潭综合实验区航运物流大厦3号楼9层社会保障处一</w:t>
            </w:r>
          </w:p>
        </w:tc>
        <w:tc>
          <w:tcPr>
            <w:tcW w:w="1370"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350400</w:t>
            </w:r>
          </w:p>
        </w:tc>
      </w:tr>
    </w:tbl>
    <w:p>
      <w:pPr>
        <w:spacing w:line="520" w:lineRule="exact"/>
        <w:rPr>
          <w:rFonts w:hint="default"/>
          <w:b w:val="0"/>
          <w:bCs w:val="0"/>
          <w:color w:val="auto"/>
        </w:rPr>
      </w:pPr>
    </w:p>
    <w:p>
      <w:bookmarkStart w:id="0" w:name="_GoBack"/>
      <w:bookmarkEnd w:id="0"/>
    </w:p>
    <w:sectPr>
      <w:headerReference r:id="rId3" w:type="default"/>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NzUwMjg0MWMzMzA5NmY1OWM1N2FkMDNhY2U3YmQifQ=="/>
  </w:docVars>
  <w:rsids>
    <w:rsidRoot w:val="56C324BA"/>
    <w:rsid w:val="56C32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2024-03-29T09:54:00Z</dcterms:created>
  <dc:creator>叶</dc:creator>
  <cp:lastModifiedBy>叶</cp:lastModifiedBy>
  <dcterms:modified xsi:type="dcterms:W3CDTF">2024-03-29T09:55:06Z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F7A7D1EABC62456F852C49A52860F33C_11</vt:lpwstr>
  </property>
</Properties>
</file>